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00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C376D3" w:rsidRPr="00C376D3" w:rsidRDefault="005D00C8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Председателем ППО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826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26.02.2024 г. № 7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73E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B73E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82665C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_106</w:t>
      </w:r>
      <w:r w:rsidR="005D00C8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</w:t>
      </w:r>
    </w:p>
    <w:p w:rsidR="00A4003E" w:rsidRDefault="00A4003E" w:rsidP="005D00C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A4003E">
        <w:rPr>
          <w:rFonts w:eastAsiaTheme="minorEastAsia"/>
          <w:b/>
          <w:sz w:val="28"/>
          <w:szCs w:val="28"/>
          <w:lang w:eastAsia="ru-RU"/>
        </w:rPr>
        <w:t xml:space="preserve">о системе управления профессиональными рисками </w:t>
      </w:r>
    </w:p>
    <w:p w:rsidR="00334638" w:rsidRPr="005D00C8" w:rsidRDefault="00A4003E" w:rsidP="005D00C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в</w:t>
      </w:r>
      <w:r w:rsidR="005D00C8" w:rsidRPr="005D00C8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431C77" w:rsidRPr="006F444E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6F444E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6F444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6F444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6F444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431C77" w:rsidRPr="00A011A6" w:rsidRDefault="00431C77" w:rsidP="00A011A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A011A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A011A6" w:rsidRPr="00A011A6" w:rsidRDefault="00A011A6" w:rsidP="00A011A6">
      <w:pPr>
        <w:pStyle w:val="a4"/>
        <w:spacing w:after="0" w:line="240" w:lineRule="auto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351612" w:rsidRDefault="0026032A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Pr="0026032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A4003E" w:rsidRPr="00A4003E">
        <w:rPr>
          <w:rFonts w:ascii="Times New Roman" w:hAnsi="Times New Roman" w:cs="Times New Roman"/>
          <w:b/>
          <w:sz w:val="28"/>
          <w:szCs w:val="28"/>
        </w:rPr>
        <w:t xml:space="preserve">о системе управления профессиональными рисками </w:t>
      </w:r>
      <w:r w:rsidR="00A4003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6032A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</w:t>
      </w:r>
      <w:r w:rsidR="00A4003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осударственном бюджетном</w:t>
      </w:r>
      <w:r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до</w:t>
      </w:r>
      <w:r w:rsidR="00A4003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школьном образовательном учреждении</w:t>
      </w:r>
      <w:r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«Детский сад № 109 «Ласточка» г. Грозный»</w:t>
      </w:r>
      <w:r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Pr="001E3F8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(далее-</w:t>
      </w:r>
      <w:r w:rsidRPr="001E3F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ДОУ)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 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разработано в соответствии с Приказом Министерства труда и социальной защиты Российской Федерации от 29 октября 2021 года № 776н «Об утверждении Примерного положения о системе управления охраной труда», Трудовым Кодексом Российской Федерации (с изменениями от 24 октября 2023 года), Приказом Минтруда и социальной защиты Российской Федерации от 28 декабря 2021 № 926 «Об утверждении Рекомендаций по выбору методов оценки уровней профессиональных рисков и по снижению уровней таких рисков»,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BD7DB6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Настоящее Положение о системе управления профессиональными рисками в ДОУ устанавливает требования к построению системы управления профессиональными рисками и процедурам управления профессиональными рисками в </w:t>
      </w:r>
      <w:r w:rsidR="00BD7DB6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описывает управление профессиональными рисками как одной из процедур системы управления охраной труда (далее — СУОТ) в дошкольном образовательном учреждении.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1.3. Система управления профессиональными рисками является частью СУОТ и включает в себя следующие основные элементы: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планирование работ на каждом рабочем месте;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оценку состояния здоровья работников;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мероприятия по снижению уровня профессиональных рисков;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контроль выполнения мероприятий по снижению уровня профессиональных рисков.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1.4. Настоящее Положение руководствуется: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Трудовым кодексом Российской Федерации (ст. 209);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Федеральным законом от 31.07.2020 года №248-ФЗ «О государственном контроле (надзоре) и муниципальном контроле в Российской Федерации» с изменениями от 25 декабря 2023 года;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Приказом Минтруда и социальной защиты Российской Федерации от 31 января 2022 года № 36 «Об утверждении Рекомендаций по классификации, обнаружению, распознаванию и описанию опасностей»;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Письмом Минпросвещения России от 20.05.2021 N 12-168 «О направлении методических рекомендаций» (вместе с «Методическими рекомендациями по оценке профессиональных рисков в дошкольной образовательной организации и общеобразовательной организации», утвержденные постановлением Исполкома Профсоюза работников народного образования и науки РФ от 25.12.2020 года № 5-11);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ГОСТом 12.0.230.5-2018 Межгосударственный Стандарт «Система стандартов безопасности труда. Системы управления охраной труда. Методы оценки риска для обеспечения безопасности выполнения работ»;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Положением о СУОТ в ДОУ;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Положением о системе управления профессиональными рисками в ДОУ.</w:t>
      </w:r>
    </w:p>
    <w:p w:rsidR="00BD7DB6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1.5. Оценку профессиональных рисков осуществляют для выявленных наиболее опасных производственных объектов, технологических процессов и профессий работников дошкольного образовательного учреждения с целью разработки мероприятий по предупреждению возможных опасностей и снижению уровня профессионального риска и планирования работ по улучшению условий труда работников.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1.6. Эффективными мероприятиями по снижению уровня профессиональных рисков в </w:t>
      </w:r>
      <w:r w:rsidR="00BD7DB6" w:rsidRPr="00BD7DB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являются административно-общественный контроль за состоянием условий труда и образовательной деятельности и подготовка (обучение) по охране труда.</w:t>
      </w:r>
    </w:p>
    <w:p w:rsidR="00BD7DB6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51612" w:rsidRPr="00BD7DB6" w:rsidRDefault="00351612" w:rsidP="00BD7DB6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BD7DB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2. Основные термины и понятия</w:t>
      </w:r>
    </w:p>
    <w:p w:rsidR="00BD7DB6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BD7DB6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2.1. </w:t>
      </w:r>
      <w:r w:rsidRPr="00BD7DB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Профессиональный риск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— вероятность причинения вреда жизни и (или) здоровью работника в результате воздействия на него вредного и (или) опасного производственного фактора при исполнении им своей трудовой функции с учетом возможной тяжести повреждения здоровья. </w:t>
      </w:r>
    </w:p>
    <w:p w:rsidR="00BD7DB6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 Порядок оценки уровня профессионального риска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 с учетом мнения Российской трехсторонней комиссии по регулированию социально-трудовых отношений. </w:t>
      </w:r>
    </w:p>
    <w:p w:rsidR="00BD7DB6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2.3. </w:t>
      </w:r>
      <w:r w:rsidRPr="00BD7DB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Управление профессиональными рисками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— комплекс взаимосвязанных мероприятий и процедур, являющихся элементами системы управления охраной труда и включающих в себя выявление опасностей, оценку профессиональных рисков и применение мер по снижению уровней профессиональных рисков или недопущению повышения их уровней, мониторинг и пересмотр выявленных профессиональных рисков. </w:t>
      </w:r>
    </w:p>
    <w:p w:rsidR="00BD7DB6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2.4. </w:t>
      </w:r>
      <w:r w:rsidRPr="00BD7DB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Система управления охраной труда (СУОТ)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— комплекс взаимосвязанных и взаимодействующих между собой элементов, устанавливающих политику, цели в области охраны труда и процедуры по достижению цели исключения любых травм, профессиональных заболеваний, аварий и инцидентов. </w:t>
      </w:r>
    </w:p>
    <w:p w:rsidR="00BD7DB6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2.5. </w:t>
      </w:r>
      <w:r w:rsidR="00351612" w:rsidRPr="00BD7DB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 xml:space="preserve">Производственная деятельность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— совокупность действий работников с применением средств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 </w:t>
      </w:r>
    </w:p>
    <w:p w:rsidR="00BD7DB6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2.6. </w:t>
      </w:r>
      <w:r w:rsidRPr="00BD7DB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Условия труда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— совокупность факторов производственной среды и трудового процесса, оказывающих влияние на работоспособность и здоровье работника. </w:t>
      </w:r>
    </w:p>
    <w:p w:rsidR="00BD7DB6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2.7. </w:t>
      </w:r>
      <w:r w:rsidRPr="00BD7DB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Вредный производственный фактор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— фактор производственный среды или трудового процесса, воздействие которого может привести к профессиональному заболеванию работника. </w:t>
      </w:r>
    </w:p>
    <w:p w:rsidR="00BD7DB6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2.8. </w:t>
      </w:r>
      <w:r w:rsidRPr="00BD7DB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Опасный производственный фактор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— фактор производственной среды или трудового процесса, воздействие которого может привести к травме или смерти работника. </w:t>
      </w:r>
    </w:p>
    <w:p w:rsidR="00BD7DB6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2.9. </w:t>
      </w:r>
      <w:r w:rsidRPr="00BD7DB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Безопасные условия труда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—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2.10. </w:t>
      </w:r>
      <w:r w:rsidRPr="00BD7DB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Рабочее место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—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:rsidR="00BD7DB6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51612" w:rsidRPr="00BD7DB6" w:rsidRDefault="00351612" w:rsidP="00BD7DB6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BD7DB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3. Организация идентификации опасностей и оценки риска</w:t>
      </w:r>
    </w:p>
    <w:p w:rsidR="00BD7DB6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BD7DB6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3.1. Для минимизации возможности причинения вреда здоровью работника заведующим ДОУ организовывается система управления профессиональными рисками. Таким образом, разрабатывается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3.2. С целью организации процедуры управления профессиональными рисками заведующий с учетом типа и специфики деятельности </w:t>
      </w:r>
      <w:r w:rsidR="00C81CDB" w:rsidRPr="00C81CD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устанавливает (определяет) порядок (алгоритм) реализации следующих мероприятий по управлению профессиональными рисками: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выявление опасностей;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оценка уровней профессиональных рисков;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снижение уровней профессиональных рисков.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3.3. Для выявления опасностей могут использоваться следующие источники информации: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нормативные правовые и технические акты, справочная и научно-техническая литература, локальные нормативные акты и др.;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результаты производственного контроля за соблюдением санитарных правил и выполнением санитарно-противоэпидемических (профилактических) мероприятий;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результаты аттестации рабочих мест;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результаты санитарно-эпидемиологической оценки готового питания детей;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результаты наблюдения за технологическим процессом, производственной средой, рабочим местом, работой подрядных организаций, внешними факторами (дорогами, организацией питания, климатическими условиями и т.д.);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результаты анализа анкет, бланков, опросных листов и т.д.;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результаты аудита (опроса) работников детского сада;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опыт практической деятельности.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3.4. Оценка профессиональных рисков в ДОУ проводится в несколько этапов: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создание комиссии для проведения оценки рисков;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выбор методов оценки рисков;</w:t>
      </w:r>
    </w:p>
    <w:p w:rsidR="00351612" w:rsidRPr="00351612" w:rsidRDefault="00BD7DB6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составление плана-графика работ по оценке рисков.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3.5. В целях организации работы по управлению профессиональными рисками заведующим </w:t>
      </w:r>
      <w:r w:rsidR="00BA371E" w:rsidRPr="00BA371E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издает Приказ о мероприятиях по управлению профрисками, предусматривающий создание комиссии по идентификации опасностей и оценке рисков, в состав которой включаются специалист по охране труда (в случае его отсутствия – лицо, исполняющее функции специалиста по охране труда), уполномоченный по охране труда профсоюзного комитета и работники ДОУ 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(завхоз, старший воспитатель и т.д.). При необходимости в состав комиссии могут быть включены эксперты из сторонних организаций.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3.6. Лица, проводящие оценку профессиональных рисков, должны знать опасности, присущие оцениваемой деятельности и применяемые меры по их управлению.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3.7. Специалист по охране труда (ответственный за охрану труда) осуществляет информирование работников с результатами оценки рисков, связанных с выполняемой ими деятельностью, включая работников сторонних организаций, выполняющих работы на объектах дошкольного образовательного учреждения.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3.8. В рамках подготовки комиссии по идентификации опасностей и оценке рисков может быть организовано: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обучение по охране труда работников (желательно очное);</w:t>
      </w:r>
    </w:p>
    <w:p w:rsidR="00BA371E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ознакомление работников с результатами проведенной специальной оценки условий труда и производств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енного контроля в детском саду;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изучение основных нормативных правовых актов, регулирующих процесс создания и функционирования СУОТ;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изучение опыта оценки профессиональных рисков в дошкольном образовательном учреждении, результатов мониторинга и контрольных мероприятий систем управления профессиональными рисками.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3.9. В рамках информирования работников сторонних организаций заведующий ДОУ: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определяет структуры и назначает ответственных исполнителей, предназначенных для информирования подрядчиков и посетителей о своих требованиях в области обеспечения безопасных условий труда. При этом информация должна соответствовать опасностям и профессиональным рискам, связанным с выполняемой работой и предусматривать уведомление о последствиях невыполнения условий соответствия требованиям безопасности;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информирует работников сторонних организаций об имеющихся средствах оперативного контроля (системы контроля прохода на территорию и т.п.).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3.10. В отношении работников сторонних организаций обмен информацией должен включать: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требования охраны труда, относящиеся к посетителям;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процедуры эвакуации и реакция на сигналы тревоги;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контроль перемещения;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контроль доступа и требования по сопровождению;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средства индивидуальной защиты, которые необходимо применять.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3.11. Оценку рисков проводят как на каждом рабочем месте индивидуально, так и, разбив рабочие места по группам, в каждой из которых работники одинаковых профессий выполняют аналогичные трудовые функции, например, воспитатели, социальный педагог, педагог-психолог.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3.12. Факторы опасности фиксируются по итогам контрольного обхода рабочих мест, опроса работников, наблюдения за действиями работников во время выполнения ими трудовых функций.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3.13. Причины опасных ситуаций и событий, приводящих к ним, анализируются с точки зрения организации труда, условий труда, действий работников, соблюдения 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требований охраны труда, опасных приёмов трудовой деятельности, организации руководства дошкольного образовательного учреждения.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3.14. Учитываются опасные ситуации, возникающие как при обычном ходе рабочего процесса, так и в исключительных и редких ситуациях.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Исключительными и редкими ситуациями в ДОУ можно считать следующие: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аварийная ситуация;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внештатная ситуация;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замена работника другим (по причине отпуска, болезни и др.);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ремонт, уборка во время работы.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3.15. Анализ причин, приводящих к опасной ситуации, включающий установление цепи событий, приводящих к опасной ситуации, учитывается при разработке мероприятий по предотвращению рисков.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3.16. При идентификации опасностей выявляются работники, которые могут быть по разным причинам наиболее подвержены опасностям.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3.17. При идентификации опасностей составляется график, с помощью которого комиссия может ориентироваться, сколько времени имеется в наличии для работы на том или ином рабочем месте (группе рабочих мест).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3.18. График также предоставляет заведующему </w:t>
      </w:r>
      <w:r w:rsidR="00BA371E" w:rsidRPr="00BA371E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возможность контролировать процесс оценки рисков.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3.19. Все члены комиссии должны быть заранее ознакомлены с возложенными обязанностями по процедуре оценки профрисков. Кроме того, следует учесть, что работники могут выполнять свои должностные обязанности не в одном кабинете или помещении, а на территории </w:t>
      </w:r>
      <w:r w:rsidR="00BA371E" w:rsidRPr="00BA371E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(например, работник по обслуживанию зданий и сооружений), что приводит к увеличению времени поиска возможных рисков.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3.20. В ходе подготовки к проведению процедуры оценки профрисков могут быть использованы материалы проверок органов государственного контроля (надзора) за соблюдением трудового законодательства, в том числе результаты производственного контроля, а также материалы расследований несчастных случаев на производстве и профзаболеваний.</w:t>
      </w:r>
    </w:p>
    <w:p w:rsidR="00BA371E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51612" w:rsidRPr="00BA371E" w:rsidRDefault="00351612" w:rsidP="00BA371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BA371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4. Идентификация опасностей и оценка рисков</w:t>
      </w:r>
    </w:p>
    <w:p w:rsidR="00BA371E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Идентификация опасностей осуществляется путем обнаружения, распознавания и описания опасностей, включая их источники, условия возникновения и потенциальные последствия при управлении профессиональными рисками в соответствии с «Рекомендациями по классификации, обнаружению, распознаванию и описанию опасностей», утвержденные Приказом Минтруда и соцзащиты Российской Федерации от 31.01.2022 года № 36.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На первоначальном этапе формируется перечень рабочих мест, на которых необходимо провести работы по идентификации опасностей.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4.3. При составлении перечня рабочих мест заведующий ДОУ анализирует, уточняет и вносит в перечень следующую информацию: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наименование должностей (профессий) работников </w:t>
      </w:r>
      <w:r w:rsidRPr="00BA371E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выполняемые на рабочих местах операции и виды работ;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места выполнения работ; Источник: https://ohrana-tryda.com/node/4277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используемые при выполнении работ или находящиеся в местах выполнения работ здания и сооружения, оборудование, инструменты и приспособления, сырье и материалы;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возможные аварийные ситуации при выполнении работ или в местах выполнения работ;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описание и причины несчастных случаев и других случаев травмирования;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вредные и (или) опасные производственные факторы, имеющиеся на рабочем месте по результатам СОУТ.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Информация о технологическом процессе собирается и анализируется с учетом не только штатных условий своей деятельности, но и случаев отклонения в работе, в том числе связанных с возможными авариями.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4.4. Работы по идентификации опасностей осуществляются с привлечением специалиста по охране труда, комиссии по охране труда, работников или уполномоченных ими представительных органов.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4.5. Обследование рабочих мест в дошкольном образовательном учреждении включает: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обход рабочих мест с осмотром территории (производственных помещений), проходов на рабочие места и путей эвакуации;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наблюдение за выполнением работниками порученной им работы и их действиями;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выявление опасностей и оценку применяемых (существующих) мер контроля (диалог с руководителем работ и работниками);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выявление источников опасностей и (или) опасных ситуаций (инициирующих событий), связанных с выполняемой работой.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4.6. Для идентифицированных опасностей определяются существующие меры управления, такие, например, как: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средства коллективной защиты – ограждение машин, блокировки, сигнализации, предупредительные огни, сирены;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административные меры управления – надписи о соблюдении безопасности, предупреждения, маркировка опасных зон, маркировка пешеходных дорожек, процедуры обеспечения безопасности, проверки оборудования, контроль доступа, системы обеспечения безопасности работы, наряды - допуски на проведение работ, инструктажи по охране труда т.д.;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организационные меры – замена оборудования, машин и механизмов, модернизация существующего оборудования, машин и механизмов и т.д.;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средства индивидуальной защиты.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4.7. Опасности, связанные с вредными факторами, которые могут привести к возникновению профессиональных заболеваний, а также результаты оценки, которые относятся к таким опасностям, должны быть представлены в материалах специальной оценки условий труда. Меры по снижению связанных с ними рисков необходимо представить в плане мероприятий по улучшению и оздоровлению условий труда. Указанные опасности и связанные с ними риски не повторяют в оценке профессиональных рисков. Однако следует учитывать присущие рабочему месту опасности, которые по каким-либо причинам отсутствуют в карте 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специальной оценки условий труда (повышенная яркость освещения, отраженная блесткость и т.п.).</w:t>
      </w:r>
    </w:p>
    <w:p w:rsidR="00BA371E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51612" w:rsidRPr="00BA371E" w:rsidRDefault="00351612" w:rsidP="00BA371E">
      <w:pPr>
        <w:tabs>
          <w:tab w:val="left" w:pos="5760"/>
        </w:tabs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BA371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5. Оценка уровня профессиональных рисков</w:t>
      </w:r>
    </w:p>
    <w:p w:rsidR="00BA371E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В соответствии с Приказом Минтруда и соцзащиты Российской Федерации от 29.10.2021 года №776н (пункт 22), оценка уровня профессиональных рисков, связанных с выявленными опасностями в дошкольном образовательном учреждении, осуществляется для всех идентифицированных опасностей.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5.2. При описании процедуры управления профессиональными рисками работодателем учитывается следующее: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управление профессиональными рисками осуществляется с учетом текущей, прошлой и будущей деятельности работодателя;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тяжесть возможного ущерба растет пропорционально увеличению числа людей, подвергающихся опасности;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все оцененные профессиональные риски подлежат управлению;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эффективность разработанных мер по управлению профессиональными рисками должна постоянно оцениваться.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5.3. При идентификации опасностей и оценки профессиональных рисков в ДОУ необходимо рассмотреть: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трудовые процессы и их параметры;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опасные вещества;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оборудование, инструменты и приспособления;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типовые работы (работы, выполняемые на регулярной основе);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техническое обслуживание, техническая диагностика, ремонт оборудования, приспособлений;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нетиповые работы, включая, выезды за пределы рабочего места (командировки);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деятельность всего персонала, имеющего доступ к рабочему месту, включая подрядчиков и посетителей;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опасности, возникающие вне рабочего места и способные негативно повлиять на здоровье и безопасность лиц, работающих на рабочих местах;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опасности, возникающие вблизи от рабочего места.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5.4. Выбор метода оценки уровня профессиональных рисков рекомендуется осуществлять в соответствии с «Рекомендациями по выбору методов оценки уровней профессиональных рисков и по снижению уровней таких рисков», утвержденными Приказом Минтруда и соцзащиты Российской Федерации от 28.12.2021 № 926.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5.5. Возможно использование различных методов оценки уровня профессиональных рисков для разных процессов и операций с учетом специфики деятельности работника. Выбор метода и сложность процедуры оценки уровня профессиональных рисков осуществляется по результатам выявленных опасностей в ДОУ, а также 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особенностями и сложностью производственных процессов, осуществляемых в дошкольном образовательном учреждении.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5.6. Выбор конкретных методов оценки уровней профессиональных рисков осуществляется работодателем самостоятельно, исходя из их приемлемости и пригодности. Также, работодатель вправе разработать собственный метод оценки уровня профессиональных рисков, исходя из специфики деятельности дошкольного образовательного учреждения.</w:t>
      </w:r>
    </w:p>
    <w:p w:rsidR="00BA371E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51612" w:rsidRPr="00BA371E" w:rsidRDefault="00351612" w:rsidP="00BA371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BA371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6. Разработка мер по исключению и снижению уровней рисков</w:t>
      </w:r>
    </w:p>
    <w:p w:rsidR="00BA371E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6.1. Управление риском включает в себя принятие решений о приоритетности выполнения мер по управлению риском и разработку соответствующих мероприятий по его снижению.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6.2. Все идентифицированные риски после их оценки подлежат управлению с учетом приоритетов применяемых мер, в качестве которых используют: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исключение опасной работы (процедуры);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замену опасной работы (процедуры);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технические методы ограничения воздействия опасностей на работников;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организационные методы ограничения времени воздействия опасностей на работников;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средства коллективной и индивидуальной защиты — страхование профессионального риска.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6.3. Необходимо использовать превентивные меры управления профессиональными рисками (наблюдение за состоянием здоровья работника, осведомление и консультирование об опасностях и профессиональных рисках на рабочих мест, инструктирование и обучение по вопросам системы управления профессиональными рисками и др.) и отдавать им предпочтение.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6.4. Процесс оценки рисков имеет цикличный характер и его нельзя останавливать. Осуществляя функционирование системы управления охраной труда в ДОУ, в рамках которой проведена оценка профрисков, необходимо постоянно проводить ее мониторинг.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6.5. В случае неудовлетворительного результата следует максимально быстро принимать корректирующие меры, начиная с внеплановой оценки рисков и заканчивая внесением изменений в Положение о СУОТ в ДОУ.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6.6. Процесс мониторинга сопровождается ведением документации, как на бумажных носителях, так и в электронном виде. Полученные данные в дальнейшем используются в целях оценки и прогноза состояния безопасности и охраны труда в дошкольном образовательном учреждении.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6.7. При проведении оценки профессиональных рисков работодателю следует: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обеспечить проведение оценки профессиональных рисков на рабочих местах;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ознакомить в письменной форме работника ДОУ с результатами проведения оценки профессиональных рисков на его рабочем месте;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реализовывать мероприятия, направленные на улучшение условий труда работников, с учетом результатов оценки профессиональных рисков.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6.8. Работник вправе: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присутствовать при проведении оценки профессиональных рисков на его рабочем месте;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обращаться к работодателю, в комиссию по оценке профессиональных рисков с предложениями по осуществлению идентификации опасностей на его рабочем месте и за получением разъяснений по вопросам проведения оценки профессиональных рисков на его рабочем месте;</w:t>
      </w:r>
    </w:p>
    <w:p w:rsidR="00351612" w:rsidRPr="00351612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1612"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работник обязан ознакомиться с результатами оценки профессиональных рисков на его рабочем месте.</w:t>
      </w:r>
    </w:p>
    <w:p w:rsidR="00BA371E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BA371E" w:rsidRDefault="00351612" w:rsidP="00BA371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BA371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7. Оценка эффективности мер </w:t>
      </w:r>
    </w:p>
    <w:p w:rsidR="00351612" w:rsidRPr="00BA371E" w:rsidRDefault="00351612" w:rsidP="00BA371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BA371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по управлению профессиональными рисками</w:t>
      </w:r>
    </w:p>
    <w:p w:rsidR="00BA371E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7.1. Эффективность мер по управлению профессиональными рисками оценивается в ходе внутреннего аудита СУОТ (1 раз в год).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7.2. Уровень эффективности мер по управлению профессиональными рисками определяется по критериям в соответствии с разрабатываемой программой внутреннего аудита системы управления охраной труда.</w:t>
      </w:r>
    </w:p>
    <w:p w:rsidR="00BA371E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BA371E" w:rsidRDefault="00351612" w:rsidP="00BA371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BA371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8. Распределение ответственности</w:t>
      </w:r>
    </w:p>
    <w:p w:rsidR="00351612" w:rsidRPr="00BA371E" w:rsidRDefault="00351612" w:rsidP="00BA371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BA371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за реализацию системы управления профрисками</w:t>
      </w:r>
    </w:p>
    <w:p w:rsidR="00BA371E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8.1. Ответственность за реализацию системы управления профессиональными рисками в дошкольном образовательном учреждении в целом, формирование Реестра </w:t>
      </w:r>
      <w:r w:rsidR="00BA371E">
        <w:rPr>
          <w:rFonts w:ascii="Times New Roman" w:eastAsiaTheme="minorEastAsia" w:hAnsi="Times New Roman" w:cs="Arial"/>
          <w:sz w:val="28"/>
          <w:szCs w:val="28"/>
          <w:lang w:eastAsia="ru-RU"/>
        </w:rPr>
        <w:t>опасностей несёт заведующий ДОУ.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8.2. Ответственность за проведение процесса идентификации опасностей и достоверность предоставляемых данных по результатам идентификации опасностей возлагается комиссию по идентификации опасностей и</w:t>
      </w:r>
      <w:r w:rsidR="00BA371E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оценки профессиональных рисков.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8.3. Ответственность за оформление результатов идентификации опасностей и хранение документации по процедуре управления рисками в дошкольном образовательном учреждении возлагается на специалиста по охране труда. </w:t>
      </w:r>
    </w:p>
    <w:p w:rsidR="00351612" w:rsidRPr="00351612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>8.4. Планирование мероприятий по воздействию на риск и контроль за их выполнением осуществляется администрацией дошкольного образовательного учреждения с привлечением представ</w:t>
      </w:r>
      <w:r w:rsidR="00BA371E">
        <w:rPr>
          <w:rFonts w:ascii="Times New Roman" w:eastAsiaTheme="minorEastAsia" w:hAnsi="Times New Roman" w:cs="Arial"/>
          <w:sz w:val="28"/>
          <w:szCs w:val="28"/>
          <w:lang w:eastAsia="ru-RU"/>
        </w:rPr>
        <w:t>ителей профсоюза.</w:t>
      </w:r>
    </w:p>
    <w:p w:rsidR="00BA371E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51612" w:rsidRPr="00BA371E" w:rsidRDefault="00351612" w:rsidP="00BA371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BA371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9. Заключительные положения</w:t>
      </w:r>
    </w:p>
    <w:p w:rsidR="00BA371E" w:rsidRDefault="00BA371E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9.1. Настоящее Положение о системе управления профессиональными рисками является локальным нормативным актом </w:t>
      </w:r>
      <w:r w:rsidR="00BA371E" w:rsidRPr="00BA371E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BA371E" w:rsidRDefault="00351612" w:rsidP="00351612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9.3. Положение о системе управления профессиональными рисками в ДОУ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ED745A" w:rsidRPr="00BA371E" w:rsidRDefault="00351612" w:rsidP="00BA371E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1612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ED745A" w:rsidRPr="00BA371E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90" w:rsidRDefault="00AD4C90" w:rsidP="0060528D">
      <w:pPr>
        <w:spacing w:after="0" w:line="240" w:lineRule="auto"/>
      </w:pPr>
      <w:r>
        <w:separator/>
      </w:r>
    </w:p>
  </w:endnote>
  <w:endnote w:type="continuationSeparator" w:id="0">
    <w:p w:rsidR="00AD4C90" w:rsidRDefault="00AD4C90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692">
          <w:rPr>
            <w:noProof/>
          </w:rPr>
          <w:t>11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90" w:rsidRDefault="00AD4C90" w:rsidP="0060528D">
      <w:pPr>
        <w:spacing w:after="0" w:line="240" w:lineRule="auto"/>
      </w:pPr>
      <w:r>
        <w:separator/>
      </w:r>
    </w:p>
  </w:footnote>
  <w:footnote w:type="continuationSeparator" w:id="0">
    <w:p w:rsidR="00AD4C90" w:rsidRDefault="00AD4C90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03D74"/>
    <w:rsid w:val="00013A96"/>
    <w:rsid w:val="00032692"/>
    <w:rsid w:val="000444AB"/>
    <w:rsid w:val="000B263A"/>
    <w:rsid w:val="00146CE6"/>
    <w:rsid w:val="001E3F89"/>
    <w:rsid w:val="0026032A"/>
    <w:rsid w:val="002A638D"/>
    <w:rsid w:val="002B4575"/>
    <w:rsid w:val="0030681A"/>
    <w:rsid w:val="003079A0"/>
    <w:rsid w:val="003118A9"/>
    <w:rsid w:val="00334638"/>
    <w:rsid w:val="00351612"/>
    <w:rsid w:val="003668C2"/>
    <w:rsid w:val="003A0944"/>
    <w:rsid w:val="003C1925"/>
    <w:rsid w:val="00431C77"/>
    <w:rsid w:val="00451DD0"/>
    <w:rsid w:val="005421D3"/>
    <w:rsid w:val="0055358F"/>
    <w:rsid w:val="005572BB"/>
    <w:rsid w:val="005A4FD4"/>
    <w:rsid w:val="005C13C3"/>
    <w:rsid w:val="005D00C8"/>
    <w:rsid w:val="0060528D"/>
    <w:rsid w:val="006F444E"/>
    <w:rsid w:val="0070650E"/>
    <w:rsid w:val="00775D6E"/>
    <w:rsid w:val="007D02ED"/>
    <w:rsid w:val="007D32A8"/>
    <w:rsid w:val="007E67D1"/>
    <w:rsid w:val="007E6B7E"/>
    <w:rsid w:val="0082665C"/>
    <w:rsid w:val="00872A0D"/>
    <w:rsid w:val="00881860"/>
    <w:rsid w:val="009B1C0C"/>
    <w:rsid w:val="00A011A6"/>
    <w:rsid w:val="00A4003E"/>
    <w:rsid w:val="00AC1C5B"/>
    <w:rsid w:val="00AD4C90"/>
    <w:rsid w:val="00B25196"/>
    <w:rsid w:val="00B73E17"/>
    <w:rsid w:val="00BA371E"/>
    <w:rsid w:val="00BD7DB6"/>
    <w:rsid w:val="00C376D3"/>
    <w:rsid w:val="00C76E27"/>
    <w:rsid w:val="00C81CDB"/>
    <w:rsid w:val="00C83DB6"/>
    <w:rsid w:val="00D87635"/>
    <w:rsid w:val="00DB1590"/>
    <w:rsid w:val="00DB1F08"/>
    <w:rsid w:val="00E464DA"/>
    <w:rsid w:val="00ED745A"/>
    <w:rsid w:val="00F25123"/>
    <w:rsid w:val="00F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2024-05-27T13:01:00Z</cp:lastPrinted>
  <dcterms:created xsi:type="dcterms:W3CDTF">2024-06-27T08:48:00Z</dcterms:created>
  <dcterms:modified xsi:type="dcterms:W3CDTF">2024-06-27T08:48:00Z</dcterms:modified>
</cp:coreProperties>
</file>